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7C3916" w:rsidRPr="00767F67" w14:paraId="2A978E12" w14:textId="1498719A">
      <w:pPr>
        <w:pStyle w:val="Heading2"/>
        <w:rPr>
          <w:b/>
          <w:bCs/>
          <w:color w:val="80340D" w:themeColor="accent2" w:themeShade="80"/>
        </w:rPr>
      </w:pPr>
      <w:bookmarkStart w:id="0" w:name="X09d56f03e5496c363c973679dd57541546da133"/>
      <w:bookmarkStart w:id="1" w:name="st.-clair-county-continuum-of-care"/>
      <w:r w:rsidRPr="00767F67">
        <w:rPr>
          <w:b/>
          <w:bCs/>
          <w:noProof/>
          <w:color w:val="80340D" w:themeColor="accent2" w:themeShade="80"/>
        </w:rPr>
        <w:drawing>
          <wp:anchor distT="0" distB="0" distL="114300" distR="114300" simplePos="0" relativeHeight="251658240" behindDoc="1" locked="0" layoutInCell="1" allowOverlap="1">
            <wp:simplePos x="0" y="0"/>
            <wp:positionH relativeFrom="column">
              <wp:posOffset>4400550</wp:posOffset>
            </wp:positionH>
            <wp:positionV relativeFrom="paragraph">
              <wp:posOffset>-161925</wp:posOffset>
            </wp:positionV>
            <wp:extent cx="1752600" cy="1038225"/>
            <wp:effectExtent l="0" t="0" r="0" b="0"/>
            <wp:wrapTight wrapText="bothSides">
              <wp:wrapPolygon>
                <wp:start x="0" y="0"/>
                <wp:lineTo x="0" y="21402"/>
                <wp:lineTo x="21365" y="21402"/>
                <wp:lineTo x="21365" y="0"/>
                <wp:lineTo x="0" y="0"/>
              </wp:wrapPolygon>
            </wp:wrapTight>
            <wp:docPr id="1726820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20107"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752600" cy="1038225"/>
                    </a:xfrm>
                    <a:prstGeom prst="rect">
                      <a:avLst/>
                    </a:prstGeom>
                  </pic:spPr>
                </pic:pic>
              </a:graphicData>
            </a:graphic>
            <wp14:sizeRelH relativeFrom="margin">
              <wp14:pctWidth>0</wp14:pctWidth>
            </wp14:sizeRelH>
            <wp14:sizeRelV relativeFrom="margin">
              <wp14:pctHeight>0</wp14:pctHeight>
            </wp14:sizeRelV>
          </wp:anchor>
        </w:drawing>
      </w:r>
      <w:r w:rsidRPr="00767F67" w:rsidR="00D54A08">
        <w:rPr>
          <w:b/>
          <w:bCs/>
          <w:color w:val="80340D" w:themeColor="accent2" w:themeShade="80"/>
        </w:rPr>
        <w:t>FY2026 Continuum of Care Program Competition</w:t>
      </w:r>
      <w:r w:rsidRPr="00767F67">
        <w:rPr>
          <w:b/>
          <w:bCs/>
          <w:noProof/>
          <w:color w:val="80340D" w:themeColor="accent2" w:themeShade="80"/>
        </w:rPr>
        <w:t xml:space="preserve"> </w:t>
      </w:r>
    </w:p>
    <w:p w:rsidR="007C3916" w:rsidRPr="00767F67" w14:paraId="1332169E" w14:textId="77777777">
      <w:pPr>
        <w:pStyle w:val="Heading3"/>
        <w:rPr>
          <w:color w:val="80340D" w:themeColor="accent2" w:themeShade="80"/>
        </w:rPr>
      </w:pPr>
      <w:bookmarkStart w:id="2" w:name="public-solicitation-announcement"/>
      <w:r w:rsidRPr="00767F67">
        <w:rPr>
          <w:color w:val="80340D" w:themeColor="accent2" w:themeShade="80"/>
        </w:rPr>
        <w:t>Public Solicitation Announcement</w:t>
      </w:r>
    </w:p>
    <w:p w:rsidR="007C3916" w14:paraId="039A6938" w14:textId="4D4D0E25">
      <w:pPr>
        <w:pStyle w:val="FirstParagraph"/>
      </w:pPr>
      <w:r>
        <w:rPr>
          <w:b/>
          <w:bCs/>
        </w:rPr>
        <w:t>Date:</w:t>
      </w:r>
      <w:r>
        <w:t xml:space="preserve"> </w:t>
      </w:r>
      <w:r w:rsidR="00952192">
        <w:t>June 16, 2026</w:t>
      </w:r>
    </w:p>
    <w:p w:rsidR="007C3916" w14:paraId="55C33733" w14:textId="77777777">
      <w:pPr>
        <w:pStyle w:val="BodyText"/>
      </w:pPr>
      <w:r>
        <w:t>The St. Clair County Continuum of Care (CoC) announces the availability of funding through the U.S. Department of Housing and Urban Development (HUD) Continuum of Care (CoC) Program Competition. The CoC is initiating its FY2026 Local Competition and invites eligible organizations to submit applications for renewal and new project funding.</w:t>
      </w:r>
    </w:p>
    <w:p w:rsidR="007C3916" w14:paraId="3D297FA9" w14:textId="77777777">
      <w:pPr>
        <w:pStyle w:val="BodyText"/>
      </w:pPr>
      <w:r>
        <w:t>The purpose of the Continuum of Care Program is to promote community-wide commitment to ending homelessness, provide funding for efforts by nonprofit organizations and local governments to quickly rehouse individuals and families experiencing homelessness, promote access to and utilization of mainstream resources, and optimize self-sufficiency among those experiencing homelessness.</w:t>
      </w:r>
    </w:p>
    <w:p w:rsidR="007C3916" w14:paraId="7C1351F4" w14:textId="77777777">
      <w:pPr>
        <w:pStyle w:val="BodyText"/>
      </w:pPr>
      <w:r>
        <w:t>The CoC is committed to conducting a fair, transparent, and objective local competition process that evaluates project performance, community impact, organizational capacity, and alignment with identified community needs.</w:t>
      </w:r>
    </w:p>
    <w:p w:rsidR="007C3916" w:rsidRPr="00767F67" w14:paraId="0C3BFC7F" w14:textId="77777777">
      <w:pPr>
        <w:pStyle w:val="Heading2"/>
        <w:rPr>
          <w:color w:val="80340D" w:themeColor="accent2" w:themeShade="80"/>
        </w:rPr>
      </w:pPr>
      <w:bookmarkStart w:id="3" w:name="local-competition-process"/>
      <w:bookmarkEnd w:id="0"/>
      <w:bookmarkEnd w:id="2"/>
      <w:r w:rsidRPr="00767F67">
        <w:rPr>
          <w:color w:val="80340D" w:themeColor="accent2" w:themeShade="80"/>
        </w:rPr>
        <w:t>Local Competition Process</w:t>
      </w:r>
    </w:p>
    <w:p w:rsidR="00906891" w14:paraId="332B2A78" w14:textId="3A75AFC9">
      <w:pPr>
        <w:pStyle w:val="BodyText"/>
      </w:pPr>
      <w:r w:rsidRPr="00906891">
        <w:t>HUD has not yet released all information needed to determine final funding amounts. To allow sufficient time for application review, scoring, ranking, and appeals, the CoC is opening the local competition using currently available information. Funding recommendations and project rankings will be finalized once additional HUD guidance is released. The CoC reserves the right to modify timelines, rankings, and funding recommendations as necessary to comply with HUD requirements.</w:t>
      </w:r>
      <w:r w:rsidR="0074070C">
        <w:t xml:space="preserve"> New information related to the competition will be posted to the CoC </w:t>
      </w:r>
      <w:hyperlink r:id="rId6" w:history="1">
        <w:r w:rsidRPr="009E7897" w:rsidR="0074070C">
          <w:rPr>
            <w:rStyle w:val="Hyperlink"/>
          </w:rPr>
          <w:t>website</w:t>
        </w:r>
      </w:hyperlink>
    </w:p>
    <w:p w:rsidR="007C3916" w14:paraId="7D9AB70E" w14:textId="0F7AE3F2">
      <w:pPr>
        <w:pStyle w:val="BodyText"/>
      </w:pPr>
      <w:r>
        <w:t xml:space="preserve">The CoC will have an informational meeting to review requirements and answer questions </w:t>
      </w:r>
      <w:r w:rsidR="00906891">
        <w:t xml:space="preserve">concerning this funding opportunity </w:t>
      </w:r>
      <w:r>
        <w:t>on Wednesday, June 24</w:t>
      </w:r>
      <w:r w:rsidRPr="0015691C">
        <w:rPr>
          <w:vertAlign w:val="superscript"/>
        </w:rPr>
        <w:t>th</w:t>
      </w:r>
      <w:r>
        <w:t xml:space="preserve"> at 1</w:t>
      </w:r>
      <w:r w:rsidR="004A33E3">
        <w:t>0</w:t>
      </w:r>
      <w:r>
        <w:t xml:space="preserve"> am. The link to connect to the meeting is here: </w:t>
      </w:r>
      <w:hyperlink r:id="rId7" w:history="1">
        <w:r w:rsidRPr="0015691C">
          <w:rPr>
            <w:rStyle w:val="Hyperlink"/>
          </w:rPr>
          <w:t>https://us06web.zoom.us/j/86713713840</w:t>
        </w:r>
      </w:hyperlink>
    </w:p>
    <w:p w:rsidR="007C3916" w:rsidRPr="00767F67" w14:paraId="336D9F9B" w14:textId="77777777">
      <w:pPr>
        <w:pStyle w:val="Heading2"/>
        <w:rPr>
          <w:color w:val="80340D" w:themeColor="accent2" w:themeShade="80"/>
        </w:rPr>
      </w:pPr>
      <w:bookmarkStart w:id="4" w:name="eligible-applicants"/>
      <w:bookmarkEnd w:id="3"/>
      <w:r w:rsidRPr="00767F67">
        <w:rPr>
          <w:color w:val="80340D" w:themeColor="accent2" w:themeShade="80"/>
        </w:rPr>
        <w:t>Eligible Applicants</w:t>
      </w:r>
    </w:p>
    <w:p w:rsidR="007C3916" w14:paraId="0F90B92E" w14:textId="23D6FA2C">
      <w:pPr>
        <w:pStyle w:val="FirstParagraph"/>
      </w:pPr>
      <w:r w:rsidRPr="00141711">
        <w:t>The CoC encourages organizations that have not previously received Continuum of Care Program funding to apply.</w:t>
      </w:r>
      <w:r>
        <w:rPr>
          <w:b/>
          <w:bCs/>
        </w:rPr>
        <w:t xml:space="preserve"> </w:t>
      </w:r>
      <w:r w:rsidR="00D54A08">
        <w:t>Eligible applicants include:</w:t>
      </w:r>
    </w:p>
    <w:p w:rsidR="007C3916" w:rsidP="00952192" w14:paraId="3E1CD235" w14:textId="77777777">
      <w:pPr>
        <w:pStyle w:val="Compact"/>
        <w:numPr>
          <w:ilvl w:val="0"/>
          <w:numId w:val="2"/>
        </w:numPr>
        <w:spacing w:before="0" w:after="0"/>
      </w:pPr>
      <w:r>
        <w:t>Nonprofit organizations</w:t>
      </w:r>
    </w:p>
    <w:p w:rsidR="007C3916" w:rsidP="00952192" w14:paraId="72B91371" w14:textId="77777777">
      <w:pPr>
        <w:pStyle w:val="Compact"/>
        <w:numPr>
          <w:ilvl w:val="0"/>
          <w:numId w:val="2"/>
        </w:numPr>
        <w:spacing w:before="0" w:after="0"/>
      </w:pPr>
      <w:r>
        <w:t>Units of state and local government</w:t>
      </w:r>
    </w:p>
    <w:p w:rsidR="007C3916" w:rsidP="00952192" w14:paraId="412BCE3C" w14:textId="77777777">
      <w:pPr>
        <w:pStyle w:val="Compact"/>
        <w:numPr>
          <w:ilvl w:val="0"/>
          <w:numId w:val="2"/>
        </w:numPr>
        <w:spacing w:before="0" w:after="0"/>
      </w:pPr>
      <w:r>
        <w:t>Public housing agencies</w:t>
      </w:r>
    </w:p>
    <w:p w:rsidR="007C3916" w:rsidP="00952192" w14:paraId="4893BB1F" w14:textId="77777777">
      <w:pPr>
        <w:pStyle w:val="Compact"/>
        <w:numPr>
          <w:ilvl w:val="0"/>
          <w:numId w:val="2"/>
        </w:numPr>
        <w:spacing w:before="0" w:after="0"/>
      </w:pPr>
      <w:r>
        <w:t>Other entities eligible under HUD Continuum of Care Program regulations</w:t>
      </w:r>
    </w:p>
    <w:p w:rsidR="007C3916" w14:paraId="1E18AD2D" w14:textId="77777777">
      <w:pPr>
        <w:pStyle w:val="BodyText"/>
      </w:pPr>
      <w:r>
        <w:t xml:space="preserve">Individuals, unincorporated organizations, and for-profit entities are </w:t>
      </w:r>
      <w:r w:rsidRPr="00952192">
        <w:rPr>
          <w:u w:val="single"/>
        </w:rPr>
        <w:t>not</w:t>
      </w:r>
      <w:r>
        <w:t xml:space="preserve"> eligible applicants.</w:t>
      </w:r>
    </w:p>
    <w:p w:rsidR="007C3916" w:rsidRPr="00767F67" w14:paraId="33B85C48" w14:textId="77777777">
      <w:pPr>
        <w:pStyle w:val="Heading2"/>
        <w:rPr>
          <w:color w:val="80340D" w:themeColor="accent2" w:themeShade="80"/>
        </w:rPr>
      </w:pPr>
      <w:bookmarkStart w:id="5" w:name="renewal-projects"/>
      <w:bookmarkEnd w:id="4"/>
      <w:r w:rsidRPr="00767F67">
        <w:rPr>
          <w:color w:val="80340D" w:themeColor="accent2" w:themeShade="80"/>
        </w:rPr>
        <w:t>Renewal Projects</w:t>
      </w:r>
    </w:p>
    <w:p w:rsidR="007C3916" w14:paraId="42B91431" w14:textId="77777777">
      <w:pPr>
        <w:pStyle w:val="FirstParagraph"/>
      </w:pPr>
      <w:r>
        <w:t>Existing CoC-funded projects seeking renewal funding must:</w:t>
      </w:r>
    </w:p>
    <w:p w:rsidR="007C3916" w14:paraId="51487411" w14:textId="3FB4E773">
      <w:pPr>
        <w:pStyle w:val="Compact"/>
        <w:numPr>
          <w:ilvl w:val="0"/>
          <w:numId w:val="3"/>
        </w:numPr>
      </w:pPr>
      <w:r>
        <w:t>Notify the CoC of their intent to renew or voluntarily reallocate funding by</w:t>
      </w:r>
      <w:r w:rsidR="00141711">
        <w:t xml:space="preserve"> </w:t>
      </w:r>
      <w:r w:rsidRPr="00141711" w:rsidR="00141711">
        <w:rPr>
          <w:b/>
          <w:bCs/>
          <w:color w:val="156082" w:themeColor="accent1"/>
        </w:rPr>
        <w:t>6/</w:t>
      </w:r>
      <w:r w:rsidR="00997913">
        <w:rPr>
          <w:b/>
          <w:bCs/>
          <w:color w:val="156082" w:themeColor="accent1"/>
        </w:rPr>
        <w:t>2</w:t>
      </w:r>
      <w:r w:rsidRPr="00141711" w:rsidR="00141711">
        <w:rPr>
          <w:b/>
          <w:bCs/>
          <w:color w:val="156082" w:themeColor="accent1"/>
        </w:rPr>
        <w:t>6/26</w:t>
      </w:r>
      <w:r w:rsidRPr="00141711">
        <w:rPr>
          <w:b/>
          <w:bCs/>
          <w:color w:val="156082" w:themeColor="accent1"/>
        </w:rPr>
        <w:t>.</w:t>
      </w:r>
    </w:p>
    <w:p w:rsidR="007C3916" w14:paraId="639988F7" w14:textId="572DCD53">
      <w:pPr>
        <w:pStyle w:val="Compact"/>
        <w:numPr>
          <w:ilvl w:val="0"/>
          <w:numId w:val="3"/>
        </w:numPr>
      </w:pPr>
      <w:r>
        <w:t xml:space="preserve">Submit all </w:t>
      </w:r>
      <w:r w:rsidR="00AF3A85">
        <w:t xml:space="preserve">the </w:t>
      </w:r>
      <w:r>
        <w:t xml:space="preserve">required local competition application materials by </w:t>
      </w:r>
      <w:r w:rsidRPr="00141711" w:rsidR="00141711">
        <w:rPr>
          <w:b/>
          <w:bCs/>
          <w:color w:val="156082" w:themeColor="accent1"/>
        </w:rPr>
        <w:t>7/14/2026</w:t>
      </w:r>
      <w:r w:rsidRPr="00141711">
        <w:rPr>
          <w:b/>
          <w:bCs/>
          <w:color w:val="156082" w:themeColor="accent1"/>
        </w:rPr>
        <w:t>.</w:t>
      </w:r>
    </w:p>
    <w:p w:rsidR="007C3916" w14:paraId="14284EF0" w14:textId="77777777">
      <w:pPr>
        <w:pStyle w:val="Compact"/>
        <w:numPr>
          <w:ilvl w:val="0"/>
          <w:numId w:val="3"/>
        </w:numPr>
      </w:pPr>
      <w:r>
        <w:t>Complete and submit required HUD application materials through e-snaps.</w:t>
      </w:r>
    </w:p>
    <w:p w:rsidR="007C3916" w14:paraId="6969138B" w14:textId="228EAA6E">
      <w:pPr>
        <w:pStyle w:val="FirstParagraph"/>
      </w:pPr>
      <w:r>
        <w:t xml:space="preserve">Letters of Intent should be sent to </w:t>
      </w:r>
      <w:hyperlink r:id="rId8" w:history="1">
        <w:r w:rsidRPr="00A53310" w:rsidR="00D25DC7">
          <w:rPr>
            <w:rStyle w:val="Hyperlink"/>
          </w:rPr>
          <w:t>Christina.Anderson@co.st-clair.il.us</w:t>
        </w:r>
      </w:hyperlink>
      <w:r w:rsidR="00D25DC7">
        <w:t xml:space="preserve">  </w:t>
      </w:r>
      <w:r w:rsidR="00D54A08">
        <w:t>Renewal projects will be evaluated based upon project performance, compliance with grant requirements, expenditure of funds, organizational capacity, and alignment with community priorities.</w:t>
      </w:r>
    </w:p>
    <w:p w:rsidR="007C3916" w:rsidRPr="00767F67" w14:paraId="7F1FAAD6" w14:textId="77777777">
      <w:pPr>
        <w:pStyle w:val="Heading2"/>
        <w:rPr>
          <w:color w:val="80340D" w:themeColor="accent2" w:themeShade="80"/>
        </w:rPr>
      </w:pPr>
      <w:bookmarkStart w:id="6" w:name="new-project-applications"/>
      <w:bookmarkEnd w:id="5"/>
      <w:r w:rsidRPr="00767F67">
        <w:rPr>
          <w:color w:val="80340D" w:themeColor="accent2" w:themeShade="80"/>
        </w:rPr>
        <w:t>New Project Applications</w:t>
      </w:r>
    </w:p>
    <w:p w:rsidR="007C3916" w:rsidRPr="00364ABD" w14:paraId="7CE9D0CB" w14:textId="34B1851B">
      <w:pPr>
        <w:pStyle w:val="FirstParagraph"/>
      </w:pPr>
      <w:r>
        <w:t xml:space="preserve">Organizations interested in applying for new project funding should submit a Letter of Intent </w:t>
      </w:r>
      <w:r w:rsidRPr="00364ABD" w:rsidR="00BB0FF6">
        <w:t xml:space="preserve">to </w:t>
      </w:r>
      <w:hyperlink r:id="rId9" w:history="1">
        <w:r w:rsidRPr="00BB0FF6" w:rsidR="00BB0FF6">
          <w:rPr>
            <w:rStyle w:val="Hyperlink"/>
          </w:rPr>
          <w:t>christina.anderson@co.st-clair.il.us</w:t>
        </w:r>
      </w:hyperlink>
      <w:r w:rsidR="00BB0FF6">
        <w:t xml:space="preserve"> </w:t>
      </w:r>
      <w:r>
        <w:t xml:space="preserve">no later than </w:t>
      </w:r>
      <w:r w:rsidRPr="00141711" w:rsidR="00141711">
        <w:rPr>
          <w:b/>
          <w:bCs/>
          <w:color w:val="156082" w:themeColor="accent1"/>
        </w:rPr>
        <w:t>6/</w:t>
      </w:r>
      <w:r w:rsidRPr="00141711" w:rsidR="00952192">
        <w:rPr>
          <w:b/>
          <w:bCs/>
          <w:color w:val="156082" w:themeColor="accent1"/>
        </w:rPr>
        <w:t>26</w:t>
      </w:r>
      <w:r w:rsidRPr="00141711" w:rsidR="00141711">
        <w:rPr>
          <w:b/>
          <w:bCs/>
          <w:color w:val="156082" w:themeColor="accent1"/>
        </w:rPr>
        <w:t>/</w:t>
      </w:r>
      <w:r w:rsidRPr="00141711" w:rsidR="00952192">
        <w:rPr>
          <w:b/>
          <w:bCs/>
          <w:color w:val="156082" w:themeColor="accent1"/>
        </w:rPr>
        <w:t>2026</w:t>
      </w:r>
      <w:r w:rsidRPr="00141711">
        <w:rPr>
          <w:b/>
          <w:bCs/>
          <w:color w:val="156082" w:themeColor="accent1"/>
        </w:rPr>
        <w:t>.</w:t>
      </w:r>
      <w:r w:rsidR="00364ABD">
        <w:rPr>
          <w:b/>
          <w:bCs/>
          <w:color w:val="156082" w:themeColor="accent1"/>
        </w:rPr>
        <w:t xml:space="preserve"> </w:t>
      </w:r>
    </w:p>
    <w:p w:rsidR="007C3916" w14:paraId="30FC0218" w14:textId="77777777">
      <w:pPr>
        <w:pStyle w:val="BodyText"/>
      </w:pPr>
      <w:r>
        <w:t>The Letter of Intent should include:</w:t>
      </w:r>
    </w:p>
    <w:p w:rsidR="007C3916" w14:paraId="4EE9206B" w14:textId="77777777">
      <w:pPr>
        <w:pStyle w:val="Compact"/>
        <w:numPr>
          <w:ilvl w:val="0"/>
          <w:numId w:val="4"/>
        </w:numPr>
      </w:pPr>
      <w:r>
        <w:t>Applicant organization</w:t>
      </w:r>
    </w:p>
    <w:p w:rsidR="007C3916" w14:paraId="608D9092" w14:textId="77777777">
      <w:pPr>
        <w:pStyle w:val="Compact"/>
        <w:numPr>
          <w:ilvl w:val="0"/>
          <w:numId w:val="4"/>
        </w:numPr>
      </w:pPr>
      <w:r>
        <w:t>Proposed project type</w:t>
      </w:r>
    </w:p>
    <w:p w:rsidR="007C3916" w14:paraId="31F019DD" w14:textId="77777777">
      <w:pPr>
        <w:pStyle w:val="Compact"/>
        <w:numPr>
          <w:ilvl w:val="0"/>
          <w:numId w:val="4"/>
        </w:numPr>
      </w:pPr>
      <w:r>
        <w:t>Population to be served</w:t>
      </w:r>
    </w:p>
    <w:p w:rsidR="007C3916" w14:paraId="6D36EEAA" w14:textId="77777777">
      <w:pPr>
        <w:pStyle w:val="Compact"/>
        <w:numPr>
          <w:ilvl w:val="0"/>
          <w:numId w:val="4"/>
        </w:numPr>
      </w:pPr>
      <w:r>
        <w:t>Estimated funding request</w:t>
      </w:r>
    </w:p>
    <w:p w:rsidR="007C3916" w14:paraId="6F6EE28C" w14:textId="77777777">
      <w:pPr>
        <w:pStyle w:val="Compact"/>
        <w:numPr>
          <w:ilvl w:val="0"/>
          <w:numId w:val="4"/>
        </w:numPr>
      </w:pPr>
      <w:r>
        <w:t>Brief project description</w:t>
      </w:r>
    </w:p>
    <w:p w:rsidR="007C3916" w14:paraId="0BF5F931" w14:textId="77777777">
      <w:pPr>
        <w:pStyle w:val="FirstParagraph"/>
      </w:pPr>
      <w:r>
        <w:t>Submission of a Letter of Intent does not guarantee funding but allows the CoC to provide technical assistance and coordinate the local competition process.</w:t>
      </w:r>
    </w:p>
    <w:p w:rsidR="00F258F8" w14:paraId="180C8A42" w14:textId="40509E5D">
      <w:pPr>
        <w:pStyle w:val="BodyText"/>
      </w:pPr>
      <w:r>
        <w:t xml:space="preserve">Applicants </w:t>
      </w:r>
      <w:r w:rsidR="00141711">
        <w:t>eligible</w:t>
      </w:r>
      <w:r>
        <w:t xml:space="preserve"> to continue in the competition will be required to</w:t>
      </w:r>
      <w:r w:rsidR="001351B6">
        <w:t>:</w:t>
      </w:r>
    </w:p>
    <w:p w:rsidR="007E2F25" w:rsidRPr="00D02B59" w:rsidP="00E85BED" w14:paraId="4BD77654" w14:textId="5B0B3D64">
      <w:pPr>
        <w:pStyle w:val="BodyText"/>
        <w:numPr>
          <w:ilvl w:val="0"/>
          <w:numId w:val="12"/>
        </w:numPr>
        <w:spacing w:before="0" w:after="0"/>
        <w:rPr>
          <w:b/>
          <w:bCs/>
          <w:color w:val="215E99" w:themeColor="text2" w:themeTint="BF"/>
        </w:rPr>
      </w:pPr>
      <w:r>
        <w:t xml:space="preserve">Submit </w:t>
      </w:r>
      <w:r w:rsidR="005D48C4">
        <w:t xml:space="preserve">required </w:t>
      </w:r>
      <w:r w:rsidR="005B4766">
        <w:t>local application</w:t>
      </w:r>
      <w:r>
        <w:t xml:space="preserve"> materials by </w:t>
      </w:r>
      <w:r w:rsidRPr="00D02B59">
        <w:rPr>
          <w:b/>
          <w:bCs/>
          <w:color w:val="215E99" w:themeColor="text2" w:themeTint="BF"/>
        </w:rPr>
        <w:t>7/14/2</w:t>
      </w:r>
      <w:r w:rsidR="00D02B59">
        <w:rPr>
          <w:b/>
          <w:bCs/>
          <w:color w:val="215E99" w:themeColor="text2" w:themeTint="BF"/>
        </w:rPr>
        <w:t>02</w:t>
      </w:r>
      <w:r w:rsidRPr="00D02B59">
        <w:rPr>
          <w:b/>
          <w:bCs/>
          <w:color w:val="215E99" w:themeColor="text2" w:themeTint="BF"/>
        </w:rPr>
        <w:t>6</w:t>
      </w:r>
      <w:r w:rsidR="00C84E56">
        <w:rPr>
          <w:b/>
          <w:bCs/>
          <w:color w:val="215E99" w:themeColor="text2" w:themeTint="BF"/>
        </w:rPr>
        <w:t>.</w:t>
      </w:r>
    </w:p>
    <w:p w:rsidR="007C3916" w:rsidP="00E85BED" w14:paraId="766588AA" w14:textId="70251A60">
      <w:pPr>
        <w:pStyle w:val="BodyText"/>
        <w:numPr>
          <w:ilvl w:val="0"/>
          <w:numId w:val="12"/>
        </w:numPr>
        <w:spacing w:before="0" w:after="0"/>
      </w:pPr>
      <w:r>
        <w:t xml:space="preserve">Complete </w:t>
      </w:r>
      <w:r w:rsidR="00CF4D51">
        <w:t>required HUD applicatio</w:t>
      </w:r>
      <w:r>
        <w:t xml:space="preserve">n materials through </w:t>
      </w:r>
      <w:r w:rsidR="00C84E56">
        <w:t>e-snaps</w:t>
      </w:r>
      <w:r w:rsidR="00141711">
        <w:t xml:space="preserve">. </w:t>
      </w:r>
    </w:p>
    <w:p w:rsidR="007C3916" w:rsidRPr="00767F67" w14:paraId="3038E6FB" w14:textId="77777777">
      <w:pPr>
        <w:pStyle w:val="Heading2"/>
        <w:rPr>
          <w:color w:val="80340D" w:themeColor="accent2" w:themeShade="80"/>
        </w:rPr>
      </w:pPr>
      <w:bookmarkStart w:id="7" w:name="threshold-review"/>
      <w:bookmarkEnd w:id="6"/>
      <w:r w:rsidRPr="00767F67">
        <w:rPr>
          <w:color w:val="80340D" w:themeColor="accent2" w:themeShade="80"/>
        </w:rPr>
        <w:t>Threshold Review</w:t>
      </w:r>
    </w:p>
    <w:p w:rsidR="007C3916" w14:paraId="590E2AAB" w14:textId="59C60062">
      <w:pPr>
        <w:pStyle w:val="FirstParagraph"/>
      </w:pPr>
      <w:r w:rsidRPr="002D6FBB">
        <w:t xml:space="preserve">All applications will undergo a threshold review for eligibility and compliance with HUD requirements. Applicants </w:t>
      </w:r>
      <w:r w:rsidR="009106C2">
        <w:t xml:space="preserve">should review the </w:t>
      </w:r>
      <w:hyperlink r:id="rId10" w:history="1">
        <w:r w:rsidRPr="009A0200" w:rsidR="009106C2">
          <w:rPr>
            <w:rStyle w:val="Hyperlink"/>
          </w:rPr>
          <w:t>FY2026 Notice of Funding Opportunity</w:t>
        </w:r>
      </w:hyperlink>
      <w:r w:rsidR="009106C2">
        <w:t xml:space="preserve"> </w:t>
      </w:r>
      <w:r w:rsidRPr="002D6FBB">
        <w:t>for threshold criteria. Applications that do not meet threshold requirements may be eliminated from further consideration.</w:t>
      </w:r>
    </w:p>
    <w:p w:rsidR="00A175B1" w14:paraId="13CD414A" w14:textId="77777777">
      <w:pPr>
        <w:rPr>
          <w:rFonts w:asciiTheme="majorHAnsi" w:eastAsiaTheme="majorEastAsia" w:hAnsiTheme="majorHAnsi" w:cstheme="majorBidi"/>
          <w:color w:val="80340D" w:themeColor="accent2" w:themeShade="80"/>
          <w:sz w:val="32"/>
          <w:szCs w:val="32"/>
        </w:rPr>
      </w:pPr>
      <w:bookmarkStart w:id="8" w:name="project-review-and-scoring"/>
      <w:bookmarkEnd w:id="7"/>
      <w:r>
        <w:rPr>
          <w:color w:val="80340D" w:themeColor="accent2" w:themeShade="80"/>
        </w:rPr>
        <w:br w:type="page"/>
      </w:r>
    </w:p>
    <w:p w:rsidR="007C3916" w:rsidRPr="00767F67" w14:paraId="0F87D31E" w14:textId="46A71B40">
      <w:pPr>
        <w:pStyle w:val="Heading2"/>
        <w:rPr>
          <w:color w:val="80340D" w:themeColor="accent2" w:themeShade="80"/>
        </w:rPr>
      </w:pPr>
      <w:r w:rsidRPr="00767F67">
        <w:rPr>
          <w:color w:val="80340D" w:themeColor="accent2" w:themeShade="80"/>
        </w:rPr>
        <w:t>Project Review and Scoring</w:t>
      </w:r>
    </w:p>
    <w:p w:rsidR="007C3916" w14:paraId="68BAD613" w14:textId="77777777">
      <w:pPr>
        <w:pStyle w:val="FirstParagraph"/>
      </w:pPr>
      <w:r>
        <w:t>Applications that pass threshold review will be evaluated through the CoC’s local competition process.</w:t>
      </w:r>
    </w:p>
    <w:p w:rsidR="007C3916" w14:paraId="62B38F3C" w14:textId="2FA6C401">
      <w:pPr>
        <w:pStyle w:val="BodyText"/>
      </w:pPr>
      <w:r>
        <w:t>The CoC utilizes a performance-based scoring methodology designed to identify projects that demonstrate strong outcomes and effectively address the needs of persons experiencing homelessness.</w:t>
      </w:r>
      <w:r w:rsidR="00A04323">
        <w:t xml:space="preserve"> The primary scoring categories and associated metrics are listed below.</w:t>
      </w:r>
    </w:p>
    <w:p w:rsidR="007C3916" w:rsidRPr="00767F67" w14:paraId="74A8B18D" w14:textId="2BDE06E7">
      <w:pPr>
        <w:pStyle w:val="Heading3"/>
        <w:rPr>
          <w:color w:val="80340D" w:themeColor="accent2" w:themeShade="80"/>
        </w:rPr>
      </w:pPr>
      <w:bookmarkStart w:id="9" w:name="project-performance"/>
      <w:r w:rsidRPr="00767F67">
        <w:rPr>
          <w:color w:val="80340D" w:themeColor="accent2" w:themeShade="80"/>
        </w:rPr>
        <w:t>Project Performance</w:t>
      </w:r>
      <w:r w:rsidRPr="00767F67" w:rsidR="00141711">
        <w:rPr>
          <w:color w:val="80340D" w:themeColor="accent2" w:themeShade="80"/>
        </w:rPr>
        <w:t xml:space="preserve"> (for renewal applications)</w:t>
      </w:r>
    </w:p>
    <w:p w:rsidR="007C3916" w14:paraId="7E021BB1" w14:textId="77777777">
      <w:pPr>
        <w:pStyle w:val="Compact"/>
        <w:numPr>
          <w:ilvl w:val="0"/>
          <w:numId w:val="6"/>
        </w:numPr>
      </w:pPr>
      <w:r>
        <w:t>Exits to permanent housing</w:t>
      </w:r>
    </w:p>
    <w:p w:rsidR="007C3916" w14:paraId="31ED538E" w14:textId="77777777">
      <w:pPr>
        <w:pStyle w:val="Compact"/>
        <w:numPr>
          <w:ilvl w:val="0"/>
          <w:numId w:val="6"/>
        </w:numPr>
      </w:pPr>
      <w:r>
        <w:t>Returns to homelessness</w:t>
      </w:r>
    </w:p>
    <w:p w:rsidR="007C3916" w14:paraId="78AB4AF8" w14:textId="77777777">
      <w:pPr>
        <w:pStyle w:val="Compact"/>
        <w:numPr>
          <w:ilvl w:val="0"/>
          <w:numId w:val="6"/>
        </w:numPr>
      </w:pPr>
      <w:r>
        <w:t>Utilization rates</w:t>
      </w:r>
    </w:p>
    <w:p w:rsidR="007C3916" w14:paraId="5875F3BD" w14:textId="77777777">
      <w:pPr>
        <w:pStyle w:val="Compact"/>
        <w:numPr>
          <w:ilvl w:val="0"/>
          <w:numId w:val="6"/>
        </w:numPr>
      </w:pPr>
      <w:r>
        <w:t>Income and employment outcomes</w:t>
      </w:r>
    </w:p>
    <w:p w:rsidR="007C3916" w:rsidRPr="00767F67" w14:paraId="401474A0" w14:textId="77777777">
      <w:pPr>
        <w:pStyle w:val="Heading3"/>
        <w:rPr>
          <w:color w:val="80340D" w:themeColor="accent2" w:themeShade="80"/>
        </w:rPr>
      </w:pPr>
      <w:bookmarkStart w:id="10" w:name="system-performance-and-community-impact"/>
      <w:bookmarkEnd w:id="9"/>
      <w:r w:rsidRPr="00767F67">
        <w:rPr>
          <w:color w:val="80340D" w:themeColor="accent2" w:themeShade="80"/>
        </w:rPr>
        <w:t>System Performance and Community Impact</w:t>
      </w:r>
    </w:p>
    <w:p w:rsidR="007C3916" w14:paraId="61C8F0BB" w14:textId="77777777">
      <w:pPr>
        <w:pStyle w:val="Compact"/>
        <w:numPr>
          <w:ilvl w:val="0"/>
          <w:numId w:val="7"/>
        </w:numPr>
      </w:pPr>
      <w:r>
        <w:t>Coordination with community partners</w:t>
      </w:r>
    </w:p>
    <w:p w:rsidR="007C3916" w14:paraId="74C83024" w14:textId="77777777">
      <w:pPr>
        <w:pStyle w:val="Compact"/>
        <w:numPr>
          <w:ilvl w:val="0"/>
          <w:numId w:val="7"/>
        </w:numPr>
      </w:pPr>
      <w:r>
        <w:t>Contribution to community housing strategies</w:t>
      </w:r>
    </w:p>
    <w:p w:rsidR="007C3916" w14:paraId="3EEBB8BC" w14:textId="77777777">
      <w:pPr>
        <w:pStyle w:val="Compact"/>
        <w:numPr>
          <w:ilvl w:val="0"/>
          <w:numId w:val="7"/>
        </w:numPr>
      </w:pPr>
      <w:r>
        <w:t>Ability to address identified service gaps</w:t>
      </w:r>
    </w:p>
    <w:p w:rsidR="007C3916" w14:paraId="741ACE40" w14:textId="77777777">
      <w:pPr>
        <w:pStyle w:val="Compact"/>
        <w:numPr>
          <w:ilvl w:val="0"/>
          <w:numId w:val="7"/>
        </w:numPr>
      </w:pPr>
      <w:r>
        <w:t>Impact on overall homeless response system performance</w:t>
      </w:r>
    </w:p>
    <w:p w:rsidR="007C3916" w:rsidRPr="00767F67" w14:paraId="436751CE" w14:textId="77777777">
      <w:pPr>
        <w:pStyle w:val="Heading3"/>
        <w:rPr>
          <w:color w:val="80340D" w:themeColor="accent2" w:themeShade="80"/>
        </w:rPr>
      </w:pPr>
      <w:bookmarkStart w:id="11" w:name="project-design-and-service-delivery"/>
      <w:bookmarkEnd w:id="10"/>
      <w:r w:rsidRPr="00767F67">
        <w:rPr>
          <w:color w:val="80340D" w:themeColor="accent2" w:themeShade="80"/>
        </w:rPr>
        <w:t>Project Design and Service Delivery</w:t>
      </w:r>
    </w:p>
    <w:p w:rsidR="007C3916" w14:paraId="17EB3F0B" w14:textId="77777777">
      <w:pPr>
        <w:pStyle w:val="Compact"/>
        <w:numPr>
          <w:ilvl w:val="0"/>
          <w:numId w:val="8"/>
        </w:numPr>
      </w:pPr>
      <w:r>
        <w:t>Program design</w:t>
      </w:r>
    </w:p>
    <w:p w:rsidR="007C3916" w14:paraId="36DE37FA" w14:textId="77777777">
      <w:pPr>
        <w:pStyle w:val="Compact"/>
        <w:numPr>
          <w:ilvl w:val="0"/>
          <w:numId w:val="8"/>
        </w:numPr>
      </w:pPr>
      <w:r>
        <w:t>Target population</w:t>
      </w:r>
    </w:p>
    <w:p w:rsidR="007C3916" w14:paraId="06164764" w14:textId="77777777">
      <w:pPr>
        <w:pStyle w:val="Compact"/>
        <w:numPr>
          <w:ilvl w:val="0"/>
          <w:numId w:val="8"/>
        </w:numPr>
      </w:pPr>
      <w:r>
        <w:t>Service delivery approach</w:t>
      </w:r>
    </w:p>
    <w:p w:rsidR="007C3916" w14:paraId="1FBD8B71" w14:textId="77777777">
      <w:pPr>
        <w:pStyle w:val="Compact"/>
        <w:numPr>
          <w:ilvl w:val="0"/>
          <w:numId w:val="8"/>
        </w:numPr>
      </w:pPr>
      <w:r>
        <w:t>Housing-focused strategies</w:t>
      </w:r>
    </w:p>
    <w:p w:rsidR="007C3916" w14:paraId="459B25CC" w14:textId="77777777">
      <w:pPr>
        <w:pStyle w:val="Compact"/>
        <w:numPr>
          <w:ilvl w:val="0"/>
          <w:numId w:val="8"/>
        </w:numPr>
      </w:pPr>
      <w:r>
        <w:t>Coordination with mainstream resources</w:t>
      </w:r>
    </w:p>
    <w:p w:rsidR="007C3916" w14:paraId="6C05E257" w14:textId="77777777">
      <w:pPr>
        <w:pStyle w:val="Compact"/>
        <w:numPr>
          <w:ilvl w:val="0"/>
          <w:numId w:val="8"/>
        </w:numPr>
      </w:pPr>
      <w:r>
        <w:t>Participant engagement practices</w:t>
      </w:r>
    </w:p>
    <w:p w:rsidR="007C3916" w:rsidRPr="00767F67" w14:paraId="38C91EA3" w14:textId="77777777">
      <w:pPr>
        <w:pStyle w:val="Heading3"/>
        <w:rPr>
          <w:color w:val="80340D" w:themeColor="accent2" w:themeShade="80"/>
        </w:rPr>
      </w:pPr>
      <w:bookmarkStart w:id="12" w:name="Xa85852166106ebb970645f797683718eb3f5608"/>
      <w:bookmarkEnd w:id="11"/>
      <w:r w:rsidRPr="00767F67">
        <w:rPr>
          <w:color w:val="80340D" w:themeColor="accent2" w:themeShade="80"/>
        </w:rPr>
        <w:t>Organizational Capacity and Fiscal Management</w:t>
      </w:r>
    </w:p>
    <w:p w:rsidR="007C3916" w14:paraId="74ADB2AF" w14:textId="77777777">
      <w:pPr>
        <w:pStyle w:val="Compact"/>
        <w:numPr>
          <w:ilvl w:val="0"/>
          <w:numId w:val="9"/>
        </w:numPr>
      </w:pPr>
      <w:r>
        <w:t>Experience administering federal grants</w:t>
      </w:r>
    </w:p>
    <w:p w:rsidR="007C3916" w14:paraId="709167B6" w14:textId="77777777">
      <w:pPr>
        <w:pStyle w:val="Compact"/>
        <w:numPr>
          <w:ilvl w:val="0"/>
          <w:numId w:val="9"/>
        </w:numPr>
      </w:pPr>
      <w:r>
        <w:t>Grant expenditure history</w:t>
      </w:r>
    </w:p>
    <w:p w:rsidR="007C3916" w14:paraId="0595DC83" w14:textId="77777777">
      <w:pPr>
        <w:pStyle w:val="Compact"/>
        <w:numPr>
          <w:ilvl w:val="0"/>
          <w:numId w:val="9"/>
        </w:numPr>
      </w:pPr>
      <w:r>
        <w:t>Staffing and operational capacity</w:t>
      </w:r>
    </w:p>
    <w:p w:rsidR="007C3916" w:rsidRPr="00767F67" w14:paraId="61393334" w14:textId="77777777">
      <w:pPr>
        <w:pStyle w:val="Heading3"/>
        <w:rPr>
          <w:color w:val="80340D" w:themeColor="accent2" w:themeShade="80"/>
        </w:rPr>
      </w:pPr>
      <w:bookmarkStart w:id="13" w:name="coc-participation-and-collaboration"/>
      <w:bookmarkEnd w:id="12"/>
      <w:r w:rsidRPr="00767F67">
        <w:rPr>
          <w:color w:val="80340D" w:themeColor="accent2" w:themeShade="80"/>
        </w:rPr>
        <w:t>CoC Participation and Collaboration</w:t>
      </w:r>
    </w:p>
    <w:p w:rsidR="007C3916" w14:paraId="209EAA73" w14:textId="77777777">
      <w:pPr>
        <w:pStyle w:val="Compact"/>
        <w:numPr>
          <w:ilvl w:val="0"/>
          <w:numId w:val="10"/>
        </w:numPr>
      </w:pPr>
      <w:r>
        <w:t>Participation in CoC activities</w:t>
      </w:r>
    </w:p>
    <w:p w:rsidR="007C3916" w14:paraId="01FDD36D" w14:textId="77777777">
      <w:pPr>
        <w:pStyle w:val="Compact"/>
        <w:numPr>
          <w:ilvl w:val="0"/>
          <w:numId w:val="10"/>
        </w:numPr>
      </w:pPr>
      <w:r>
        <w:t>Committee involvement</w:t>
      </w:r>
    </w:p>
    <w:p w:rsidR="007C3916" w14:paraId="01A4A151" w14:textId="77777777">
      <w:pPr>
        <w:pStyle w:val="Compact"/>
        <w:numPr>
          <w:ilvl w:val="0"/>
          <w:numId w:val="10"/>
        </w:numPr>
      </w:pPr>
      <w:r>
        <w:t>Community collaboration</w:t>
      </w:r>
    </w:p>
    <w:p w:rsidR="007C3916" w14:paraId="23CD540E" w14:textId="77777777">
      <w:pPr>
        <w:pStyle w:val="Compact"/>
        <w:numPr>
          <w:ilvl w:val="0"/>
          <w:numId w:val="10"/>
        </w:numPr>
      </w:pPr>
      <w:r>
        <w:t>Support of coordinated community planning efforts</w:t>
      </w:r>
    </w:p>
    <w:p w:rsidR="007C3916" w:rsidRPr="00767F67" w14:paraId="171E6D55" w14:textId="77777777">
      <w:pPr>
        <w:pStyle w:val="Heading2"/>
        <w:rPr>
          <w:color w:val="80340D" w:themeColor="accent2" w:themeShade="80"/>
        </w:rPr>
      </w:pPr>
      <w:bookmarkStart w:id="14" w:name="ranking-process"/>
      <w:bookmarkEnd w:id="8"/>
      <w:bookmarkEnd w:id="13"/>
      <w:r w:rsidRPr="00767F67">
        <w:rPr>
          <w:color w:val="80340D" w:themeColor="accent2" w:themeShade="80"/>
        </w:rPr>
        <w:t>Ranking Process</w:t>
      </w:r>
    </w:p>
    <w:p w:rsidR="007C3916" w14:paraId="05550AD2" w14:textId="77777777">
      <w:pPr>
        <w:pStyle w:val="FirstParagraph"/>
      </w:pPr>
      <w:r>
        <w:t>Applications will be reviewed and scored by an independent Rank and Review Committee.</w:t>
      </w:r>
    </w:p>
    <w:p w:rsidR="007C3916" w14:paraId="2A8CC736" w14:textId="77777777">
      <w:pPr>
        <w:pStyle w:val="BodyText"/>
      </w:pPr>
      <w:r>
        <w:t>Scores will be used to develop funding recommendations and project rankings for consideration by the CoC.</w:t>
      </w:r>
    </w:p>
    <w:p w:rsidR="007C3916" w14:paraId="75C32530" w14:textId="77777777">
      <w:pPr>
        <w:pStyle w:val="BodyText"/>
      </w:pPr>
      <w:r>
        <w:t>The CoC may consider additional factors permitted by HUD regulations when developing its final Priority Listing, including funding availability, project eligibility, reallocation opportunities, and strategic community needs.</w:t>
      </w:r>
    </w:p>
    <w:p w:rsidR="007C3916" w:rsidRPr="00767F67" w14:paraId="5A769E55" w14:textId="77777777">
      <w:pPr>
        <w:pStyle w:val="Heading2"/>
        <w:rPr>
          <w:color w:val="80340D" w:themeColor="accent2" w:themeShade="80"/>
        </w:rPr>
      </w:pPr>
      <w:bookmarkStart w:id="15" w:name="appeals-process"/>
      <w:bookmarkEnd w:id="14"/>
      <w:r w:rsidRPr="00767F67">
        <w:rPr>
          <w:color w:val="80340D" w:themeColor="accent2" w:themeShade="80"/>
        </w:rPr>
        <w:t>Appeals Process</w:t>
      </w:r>
    </w:p>
    <w:p w:rsidR="007C3916" w:rsidP="003C07D9" w14:paraId="3A99FADD" w14:textId="6ED9F54B">
      <w:pPr>
        <w:pStyle w:val="FirstParagraph"/>
      </w:pPr>
      <w:r>
        <w:t>Applicants will receive written notification of project rankings, funding recommendations, and any project modifications.</w:t>
      </w:r>
      <w:r w:rsidR="003C07D9">
        <w:t xml:space="preserve"> </w:t>
      </w:r>
      <w:r>
        <w:t>Applicants may appeal decisions in accordance with the CoC’s established appeals process. Information regarding appeal procedures and deadlines will be provided with notification of results.</w:t>
      </w:r>
    </w:p>
    <w:p w:rsidR="007C3916" w:rsidRPr="00767F67" w14:paraId="4039BA17" w14:textId="77777777">
      <w:pPr>
        <w:pStyle w:val="Heading2"/>
        <w:rPr>
          <w:color w:val="80340D" w:themeColor="accent2" w:themeShade="80"/>
        </w:rPr>
      </w:pPr>
      <w:bookmarkStart w:id="16" w:name="technical-assistance"/>
      <w:bookmarkEnd w:id="15"/>
      <w:r w:rsidRPr="00767F67">
        <w:rPr>
          <w:color w:val="80340D" w:themeColor="accent2" w:themeShade="80"/>
        </w:rPr>
        <w:t>Technical Assistance</w:t>
      </w:r>
    </w:p>
    <w:p w:rsidR="007C3916" w14:paraId="01A4DAFA" w14:textId="77777777">
      <w:pPr>
        <w:pStyle w:val="FirstParagraph"/>
      </w:pPr>
      <w:r>
        <w:t>The CoC will make technical assistance available to all applicants throughout the local competition process.</w:t>
      </w:r>
    </w:p>
    <w:p w:rsidR="007C3916" w14:paraId="2C715B66" w14:textId="77777777">
      <w:pPr>
        <w:pStyle w:val="BodyText"/>
      </w:pPr>
      <w:r>
        <w:t>Questions regarding the FY2026 Local Competition should be directed to:</w:t>
      </w:r>
    </w:p>
    <w:p w:rsidR="007C3916" w:rsidRPr="00A04323" w:rsidP="00A04323" w14:paraId="13CC22D6" w14:textId="1B55CFD9">
      <w:pPr>
        <w:pStyle w:val="BlockText"/>
      </w:pPr>
      <w:r w:rsidRPr="00A04323">
        <w:t xml:space="preserve">Deb Little, MISI, </w:t>
      </w:r>
      <w:hyperlink r:id="rId11" w:history="1">
        <w:r w:rsidRPr="00DD58EF">
          <w:rPr>
            <w:rStyle w:val="Hyperlink"/>
          </w:rPr>
          <w:t>dlittle@pathwaysmisi.org</w:t>
        </w:r>
      </w:hyperlink>
    </w:p>
    <w:p w:rsidR="007C3916" w:rsidRPr="00767F67" w14:paraId="1961355D" w14:textId="77777777">
      <w:pPr>
        <w:pStyle w:val="Heading2"/>
        <w:rPr>
          <w:color w:val="80340D" w:themeColor="accent2" w:themeShade="80"/>
        </w:rPr>
      </w:pPr>
      <w:bookmarkStart w:id="17" w:name="important-notice"/>
      <w:bookmarkEnd w:id="16"/>
      <w:r w:rsidRPr="00767F67">
        <w:rPr>
          <w:color w:val="80340D" w:themeColor="accent2" w:themeShade="80"/>
        </w:rPr>
        <w:t>Important Notice</w:t>
      </w:r>
    </w:p>
    <w:p w:rsidR="007C3916" w14:paraId="4148E2CD" w14:textId="1BD0DEC2">
      <w:pPr>
        <w:pStyle w:val="FirstParagraph"/>
      </w:pPr>
      <w:r>
        <w:t xml:space="preserve">Applicants are responsible for reviewing the </w:t>
      </w:r>
      <w:hyperlink r:id="rId12" w:history="1">
        <w:r w:rsidRPr="00D8309F">
          <w:rPr>
            <w:rStyle w:val="Hyperlink"/>
          </w:rPr>
          <w:t>FY2026 Continuum of Care Program Notice of Funding Opportunity (NOFO)</w:t>
        </w:r>
      </w:hyperlink>
      <w:r>
        <w:t>, HUD regulations, and all local competition materials.</w:t>
      </w:r>
      <w:r w:rsidR="000A0986">
        <w:t xml:space="preserve"> </w:t>
      </w:r>
    </w:p>
    <w:p w:rsidR="007C3916" w14:paraId="2431A289" w14:textId="77777777">
      <w:pPr>
        <w:pStyle w:val="BodyText"/>
      </w:pPr>
      <w:r>
        <w:t>The CoC reserves the right to amend this solicitation, modify timelines, or revise funding recommendations as necessary to comply with HUD requirements and available funding.</w:t>
      </w:r>
      <w:bookmarkEnd w:id="1"/>
      <w:bookmarkEnd w:id="17"/>
    </w:p>
    <w:sectPr>
      <w:headerReference w:type="default" r:id="rId13"/>
      <w:footerReference w:type="default" r:id="rId14"/>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5462640"/>
      <w:docPartObj>
        <w:docPartGallery w:val="Page Numbers (Bottom of Page)"/>
        <w:docPartUnique/>
      </w:docPartObj>
    </w:sdtPr>
    <w:sdtEndPr>
      <w:rPr>
        <w:noProof/>
      </w:rPr>
    </w:sdtEndPr>
    <w:sdtContent>
      <w:p w:rsidR="005A42DD" w14:paraId="04EE3E1E" w14:textId="363E66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A42DD" w14:paraId="3A0C9C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711" w14:paraId="7DAF486F" w14:textId="034F6027">
    <w:pPr>
      <w:pStyle w:val="Header"/>
    </w:pPr>
    <w:r>
      <w:t>East St. Louis/Belleville/St. Clair County (IL 508)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00A990"/>
    <w:multiLevelType w:val="multilevel"/>
    <w:tmpl w:val="E9A0328E"/>
    <w:lvl w:ilvl="0">
      <w:start w:val="0"/>
      <w:numFmt w:val="bullet"/>
      <w:lvlText w:val=" "/>
      <w:lvlJc w:val="left"/>
      <w:pPr>
        <w:ind w:left="720" w:hanging="360"/>
      </w:pPr>
    </w:lvl>
    <w:lvl w:ilvl="1">
      <w:start w:val="0"/>
      <w:numFmt w:val="bullet"/>
      <w:lvlText w:val=" "/>
      <w:lvlJc w:val="left"/>
      <w:pPr>
        <w:ind w:left="1440" w:hanging="360"/>
      </w:pPr>
    </w:lvl>
    <w:lvl w:ilvl="2">
      <w:start w:val="0"/>
      <w:numFmt w:val="bullet"/>
      <w:lvlText w:val=" "/>
      <w:lvlJc w:val="left"/>
      <w:pPr>
        <w:ind w:left="2160" w:hanging="360"/>
      </w:pPr>
    </w:lvl>
    <w:lvl w:ilvl="3">
      <w:start w:val="0"/>
      <w:numFmt w:val="bullet"/>
      <w:lvlText w:val=" "/>
      <w:lvlJc w:val="left"/>
      <w:pPr>
        <w:ind w:left="2880" w:hanging="360"/>
      </w:pPr>
    </w:lvl>
    <w:lvl w:ilvl="4">
      <w:start w:val="0"/>
      <w:numFmt w:val="bullet"/>
      <w:lvlText w:val=" "/>
      <w:lvlJc w:val="left"/>
      <w:pPr>
        <w:ind w:left="3600" w:hanging="360"/>
      </w:pPr>
    </w:lvl>
    <w:lvl w:ilvl="5">
      <w:start w:val="0"/>
      <w:numFmt w:val="bullet"/>
      <w:lvlText w:val=" "/>
      <w:lvlJc w:val="left"/>
      <w:pPr>
        <w:ind w:left="4320" w:hanging="360"/>
      </w:pPr>
    </w:lvl>
    <w:lvl w:ilvl="6">
      <w:start w:val="0"/>
      <w:numFmt w:val="bullet"/>
      <w:lvlText w:val=" "/>
      <w:lvlJc w:val="left"/>
      <w:pPr>
        <w:ind w:left="5040" w:hanging="360"/>
      </w:pPr>
    </w:lvl>
    <w:lvl w:ilvl="7">
      <w:start w:val="0"/>
      <w:numFmt w:val="bullet"/>
      <w:lvlText w:val=" "/>
      <w:lvlJc w:val="left"/>
      <w:pPr>
        <w:ind w:left="5760" w:hanging="360"/>
      </w:pPr>
    </w:lvl>
    <w:lvl w:ilvl="8">
      <w:start w:val="0"/>
      <w:numFmt w:val="bullet"/>
      <w:lvlText w:val=" "/>
      <w:lvlJc w:val="left"/>
      <w:pPr>
        <w:ind w:left="6480" w:hanging="360"/>
      </w:pPr>
    </w:lvl>
  </w:abstractNum>
  <w:abstractNum w:abstractNumId="1" w15:restartNumberingAfterBreak="0">
    <w:nsid w:val="0000A991"/>
    <w:multiLevelType w:val="multilevel"/>
    <w:tmpl w:val="CF0C739A"/>
    <w:lvl w:ilvl="0">
      <w:start w:val="0"/>
      <w:numFmt w:val="bullet"/>
      <w:lvlText w:val=""/>
      <w:lvlJc w:val="left"/>
      <w:pPr>
        <w:ind w:left="720" w:hanging="360"/>
      </w:pPr>
      <w:rPr>
        <w:rFonts w:ascii="Symbol" w:hAnsi="Symbol" w:cs="Symbol" w:hint="default"/>
      </w:rPr>
    </w:lvl>
    <w:lvl w:ilvl="1">
      <w:start w:val="0"/>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Wingdings" w:hAnsi="Wingdings" w:cs="Wingdings" w:hint="default"/>
      </w:rPr>
    </w:lvl>
    <w:lvl w:ilvl="3">
      <w:start w:val="0"/>
      <w:numFmt w:val="bullet"/>
      <w:lvlText w:val=""/>
      <w:lvlJc w:val="left"/>
      <w:pPr>
        <w:ind w:left="2880" w:hanging="360"/>
      </w:pPr>
      <w:rPr>
        <w:rFonts w:ascii="Symbol" w:hAnsi="Symbol" w:cs="Symbol" w:hint="default"/>
      </w:rPr>
    </w:lvl>
    <w:lvl w:ilvl="4">
      <w:start w:val="0"/>
      <w:numFmt w:val="bullet"/>
      <w:lvlText w:val="o"/>
      <w:lvlJc w:val="left"/>
      <w:pPr>
        <w:ind w:left="3600" w:hanging="360"/>
      </w:pPr>
      <w:rPr>
        <w:rFonts w:ascii="Courier New" w:hAnsi="Courier New" w:cs="Courier New" w:hint="default"/>
      </w:rPr>
    </w:lvl>
    <w:lvl w:ilvl="5">
      <w:start w:val="0"/>
      <w:numFmt w:val="bullet"/>
      <w:lvlText w:val=""/>
      <w:lvlJc w:val="left"/>
      <w:pPr>
        <w:ind w:left="4320" w:hanging="360"/>
      </w:pPr>
      <w:rPr>
        <w:rFonts w:ascii="Wingdings" w:hAnsi="Wingdings" w:cs="Wingdings" w:hint="default"/>
      </w:rPr>
    </w:lvl>
    <w:lvl w:ilvl="6">
      <w:start w:val="0"/>
      <w:numFmt w:val="bullet"/>
      <w:lvlText w:val=""/>
      <w:lvlJc w:val="left"/>
      <w:pPr>
        <w:ind w:left="5040" w:hanging="360"/>
      </w:pPr>
      <w:rPr>
        <w:rFonts w:ascii="Symbol" w:hAnsi="Symbol" w:cs="Symbol" w:hint="default"/>
      </w:rPr>
    </w:lvl>
    <w:lvl w:ilvl="7">
      <w:start w:val="0"/>
      <w:numFmt w:val="bullet"/>
      <w:lvlText w:val="o"/>
      <w:lvlJc w:val="left"/>
      <w:pPr>
        <w:ind w:left="5760" w:hanging="360"/>
      </w:pPr>
      <w:rPr>
        <w:rFonts w:ascii="Courier New" w:hAnsi="Courier New" w:cs="Courier New" w:hint="default"/>
      </w:rPr>
    </w:lvl>
    <w:lvl w:ilvl="8">
      <w:start w:val="0"/>
      <w:numFmt w:val="bullet"/>
      <w:lvlText w:val=""/>
      <w:lvlJc w:val="left"/>
      <w:pPr>
        <w:ind w:left="6480" w:hanging="360"/>
      </w:pPr>
      <w:rPr>
        <w:rFonts w:ascii="Wingdings" w:hAnsi="Wingdings" w:cs="Wingdings" w:hint="default"/>
      </w:rPr>
    </w:lvl>
  </w:abstractNum>
  <w:abstractNum w:abstractNumId="2" w15:restartNumberingAfterBreak="0">
    <w:nsid w:val="4E9F5F7F"/>
    <w:multiLevelType w:val="hybridMultilevel"/>
    <w:tmpl w:val="0400DC62"/>
    <w:lvl w:ilvl="0">
      <w:start w:val="1"/>
      <w:numFmt w:val="bullet"/>
      <w:lvlText w:val=""/>
      <w:lvlJc w:val="left"/>
      <w:pPr>
        <w:ind w:left="768" w:hanging="360"/>
      </w:pPr>
      <w:rPr>
        <w:rFonts w:ascii="Symbol" w:hAnsi="Symbol" w:hint="default"/>
      </w:rPr>
    </w:lvl>
    <w:lvl w:ilvl="1" w:tentative="1">
      <w:start w:val="1"/>
      <w:numFmt w:val="lowerLetter"/>
      <w:lvlText w:val="%2."/>
      <w:lvlJc w:val="left"/>
      <w:pPr>
        <w:ind w:left="1488" w:hanging="360"/>
      </w:pPr>
    </w:lvl>
    <w:lvl w:ilvl="2" w:tentative="1">
      <w:start w:val="1"/>
      <w:numFmt w:val="lowerRoman"/>
      <w:lvlText w:val="%3."/>
      <w:lvlJc w:val="right"/>
      <w:pPr>
        <w:ind w:left="2208" w:hanging="180"/>
      </w:pPr>
    </w:lvl>
    <w:lvl w:ilvl="3" w:tentative="1">
      <w:start w:val="1"/>
      <w:numFmt w:val="decimal"/>
      <w:lvlText w:val="%4."/>
      <w:lvlJc w:val="left"/>
      <w:pPr>
        <w:ind w:left="2928" w:hanging="360"/>
      </w:pPr>
    </w:lvl>
    <w:lvl w:ilvl="4" w:tentative="1">
      <w:start w:val="1"/>
      <w:numFmt w:val="lowerLetter"/>
      <w:lvlText w:val="%5."/>
      <w:lvlJc w:val="left"/>
      <w:pPr>
        <w:ind w:left="3648" w:hanging="360"/>
      </w:pPr>
    </w:lvl>
    <w:lvl w:ilvl="5" w:tentative="1">
      <w:start w:val="1"/>
      <w:numFmt w:val="lowerRoman"/>
      <w:lvlText w:val="%6."/>
      <w:lvlJc w:val="right"/>
      <w:pPr>
        <w:ind w:left="4368" w:hanging="180"/>
      </w:pPr>
    </w:lvl>
    <w:lvl w:ilvl="6" w:tentative="1">
      <w:start w:val="1"/>
      <w:numFmt w:val="decimal"/>
      <w:lvlText w:val="%7."/>
      <w:lvlJc w:val="left"/>
      <w:pPr>
        <w:ind w:left="5088" w:hanging="360"/>
      </w:pPr>
    </w:lvl>
    <w:lvl w:ilvl="7" w:tentative="1">
      <w:start w:val="1"/>
      <w:numFmt w:val="lowerLetter"/>
      <w:lvlText w:val="%8."/>
      <w:lvlJc w:val="left"/>
      <w:pPr>
        <w:ind w:left="5808" w:hanging="360"/>
      </w:pPr>
    </w:lvl>
    <w:lvl w:ilvl="8" w:tentative="1">
      <w:start w:val="1"/>
      <w:numFmt w:val="lowerRoman"/>
      <w:lvlText w:val="%9."/>
      <w:lvlJc w:val="right"/>
      <w:pPr>
        <w:ind w:left="6528" w:hanging="180"/>
      </w:pPr>
    </w:lvl>
  </w:abstractNum>
  <w:abstractNum w:abstractNumId="3" w15:restartNumberingAfterBreak="0">
    <w:nsid w:val="78076809"/>
    <w:multiLevelType w:val="hybridMultilevel"/>
    <w:tmpl w:val="DE76077E"/>
    <w:lvl w:ilvl="0">
      <w:start w:val="1"/>
      <w:numFmt w:val="lowerLetter"/>
      <w:lvlText w:val="%1)"/>
      <w:lvlJc w:val="left"/>
      <w:pPr>
        <w:ind w:left="768" w:hanging="360"/>
      </w:pPr>
      <w:rPr>
        <w:rFonts w:hint="default"/>
      </w:rPr>
    </w:lvl>
    <w:lvl w:ilvl="1" w:tentative="1">
      <w:start w:val="1"/>
      <w:numFmt w:val="lowerLetter"/>
      <w:lvlText w:val="%2."/>
      <w:lvlJc w:val="left"/>
      <w:pPr>
        <w:ind w:left="1488" w:hanging="360"/>
      </w:pPr>
    </w:lvl>
    <w:lvl w:ilvl="2" w:tentative="1">
      <w:start w:val="1"/>
      <w:numFmt w:val="lowerRoman"/>
      <w:lvlText w:val="%3."/>
      <w:lvlJc w:val="right"/>
      <w:pPr>
        <w:ind w:left="2208" w:hanging="180"/>
      </w:pPr>
    </w:lvl>
    <w:lvl w:ilvl="3" w:tentative="1">
      <w:start w:val="1"/>
      <w:numFmt w:val="decimal"/>
      <w:lvlText w:val="%4."/>
      <w:lvlJc w:val="left"/>
      <w:pPr>
        <w:ind w:left="2928" w:hanging="360"/>
      </w:pPr>
    </w:lvl>
    <w:lvl w:ilvl="4" w:tentative="1">
      <w:start w:val="1"/>
      <w:numFmt w:val="lowerLetter"/>
      <w:lvlText w:val="%5."/>
      <w:lvlJc w:val="left"/>
      <w:pPr>
        <w:ind w:left="3648" w:hanging="360"/>
      </w:pPr>
    </w:lvl>
    <w:lvl w:ilvl="5" w:tentative="1">
      <w:start w:val="1"/>
      <w:numFmt w:val="lowerRoman"/>
      <w:lvlText w:val="%6."/>
      <w:lvlJc w:val="right"/>
      <w:pPr>
        <w:ind w:left="4368" w:hanging="180"/>
      </w:pPr>
    </w:lvl>
    <w:lvl w:ilvl="6" w:tentative="1">
      <w:start w:val="1"/>
      <w:numFmt w:val="decimal"/>
      <w:lvlText w:val="%7."/>
      <w:lvlJc w:val="left"/>
      <w:pPr>
        <w:ind w:left="5088" w:hanging="360"/>
      </w:pPr>
    </w:lvl>
    <w:lvl w:ilvl="7" w:tentative="1">
      <w:start w:val="1"/>
      <w:numFmt w:val="lowerLetter"/>
      <w:lvlText w:val="%8."/>
      <w:lvlJc w:val="left"/>
      <w:pPr>
        <w:ind w:left="5808" w:hanging="360"/>
      </w:pPr>
    </w:lvl>
    <w:lvl w:ilvl="8" w:tentative="1">
      <w:start w:val="1"/>
      <w:numFmt w:val="lowerRoman"/>
      <w:lvlText w:val="%9."/>
      <w:lvlJc w:val="right"/>
      <w:pPr>
        <w:ind w:left="6528" w:hanging="180"/>
      </w:pPr>
    </w:lvl>
  </w:abstractNum>
  <w:num w:numId="1" w16cid:durableId="1210535646">
    <w:abstractNumId w:val="0"/>
  </w:num>
  <w:num w:numId="2" w16cid:durableId="2133866006">
    <w:abstractNumId w:val="1"/>
  </w:num>
  <w:num w:numId="3" w16cid:durableId="1606032495">
    <w:abstractNumId w:val="1"/>
  </w:num>
  <w:num w:numId="4" w16cid:durableId="1266965109">
    <w:abstractNumId w:val="1"/>
  </w:num>
  <w:num w:numId="5" w16cid:durableId="467093714">
    <w:abstractNumId w:val="1"/>
  </w:num>
  <w:num w:numId="6" w16cid:durableId="374357616">
    <w:abstractNumId w:val="1"/>
  </w:num>
  <w:num w:numId="7" w16cid:durableId="1231840726">
    <w:abstractNumId w:val="1"/>
  </w:num>
  <w:num w:numId="8" w16cid:durableId="2090081353">
    <w:abstractNumId w:val="1"/>
  </w:num>
  <w:num w:numId="9" w16cid:durableId="1222057614">
    <w:abstractNumId w:val="1"/>
  </w:num>
  <w:num w:numId="10" w16cid:durableId="1837573984">
    <w:abstractNumId w:val="1"/>
  </w:num>
  <w:num w:numId="11" w16cid:durableId="1716158087">
    <w:abstractNumId w:val="3"/>
  </w:num>
  <w:num w:numId="12" w16cid:durableId="1480028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4"/>
  <w:embedSystemFonts/>
  <w:proofState w:spelling="clean"/>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16"/>
    <w:rsid w:val="000176AB"/>
    <w:rsid w:val="000A0986"/>
    <w:rsid w:val="000C48AB"/>
    <w:rsid w:val="001351B6"/>
    <w:rsid w:val="00141711"/>
    <w:rsid w:val="0015691C"/>
    <w:rsid w:val="002D6FBB"/>
    <w:rsid w:val="003017C2"/>
    <w:rsid w:val="0031141F"/>
    <w:rsid w:val="00364ABD"/>
    <w:rsid w:val="003C07D9"/>
    <w:rsid w:val="00477D74"/>
    <w:rsid w:val="004A33E3"/>
    <w:rsid w:val="004D4B60"/>
    <w:rsid w:val="005652A2"/>
    <w:rsid w:val="005A42DD"/>
    <w:rsid w:val="005B4766"/>
    <w:rsid w:val="005D48C4"/>
    <w:rsid w:val="00636EA2"/>
    <w:rsid w:val="006B5C4B"/>
    <w:rsid w:val="0074070C"/>
    <w:rsid w:val="00742D13"/>
    <w:rsid w:val="007501F5"/>
    <w:rsid w:val="00767F67"/>
    <w:rsid w:val="007C3916"/>
    <w:rsid w:val="007E2F25"/>
    <w:rsid w:val="00906891"/>
    <w:rsid w:val="009106C2"/>
    <w:rsid w:val="00952192"/>
    <w:rsid w:val="00997913"/>
    <w:rsid w:val="009A0200"/>
    <w:rsid w:val="009E7897"/>
    <w:rsid w:val="00A04323"/>
    <w:rsid w:val="00A175B1"/>
    <w:rsid w:val="00A53310"/>
    <w:rsid w:val="00AF3A85"/>
    <w:rsid w:val="00AF694E"/>
    <w:rsid w:val="00BB0FF6"/>
    <w:rsid w:val="00C84E56"/>
    <w:rsid w:val="00CA01F0"/>
    <w:rsid w:val="00CE216F"/>
    <w:rsid w:val="00CF4D51"/>
    <w:rsid w:val="00D02B59"/>
    <w:rsid w:val="00D25DC7"/>
    <w:rsid w:val="00D54A08"/>
    <w:rsid w:val="00D8309F"/>
    <w:rsid w:val="00DD58EF"/>
    <w:rsid w:val="00E35508"/>
    <w:rsid w:val="00E80ACA"/>
    <w:rsid w:val="00E85BED"/>
    <w:rsid w:val="00EC02E2"/>
    <w:rsid w:val="00F258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DE8A75"/>
  <w15:docId w15:val="{2573315F-3379-41D4-9E91-A7E2F1F4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141711"/>
    <w:pPr>
      <w:tabs>
        <w:tab w:val="center" w:pos="4680"/>
        <w:tab w:val="right" w:pos="9360"/>
      </w:tabs>
      <w:spacing w:after="0"/>
    </w:pPr>
  </w:style>
  <w:style w:type="character" w:customStyle="1" w:styleId="HeaderChar">
    <w:name w:val="Header Char"/>
    <w:basedOn w:val="DefaultParagraphFont"/>
    <w:link w:val="Header"/>
    <w:rsid w:val="00141711"/>
  </w:style>
  <w:style w:type="paragraph" w:styleId="Footer">
    <w:name w:val="footer"/>
    <w:basedOn w:val="Normal"/>
    <w:link w:val="FooterChar"/>
    <w:uiPriority w:val="99"/>
    <w:rsid w:val="00141711"/>
    <w:pPr>
      <w:tabs>
        <w:tab w:val="center" w:pos="4680"/>
        <w:tab w:val="right" w:pos="9360"/>
      </w:tabs>
      <w:spacing w:after="0"/>
    </w:pPr>
  </w:style>
  <w:style w:type="character" w:customStyle="1" w:styleId="FooterChar">
    <w:name w:val="Footer Char"/>
    <w:basedOn w:val="DefaultParagraphFont"/>
    <w:link w:val="Footer"/>
    <w:uiPriority w:val="99"/>
    <w:rsid w:val="00141711"/>
  </w:style>
  <w:style w:type="character" w:styleId="UnresolvedMention">
    <w:name w:val="Unresolved Mention"/>
    <w:basedOn w:val="DefaultParagraphFont"/>
    <w:uiPriority w:val="99"/>
    <w:semiHidden/>
    <w:unhideWhenUsed/>
    <w:rsid w:val="00156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rotect.checkpoint.com/v2/r01/___https://www.hud.gov/sites/dfiles/CPD/documents/CoC/FY2026-CoC-Program-NOFO.pdf___.YXAzOnVsc3RsOmM6b2ZmaWNlMzY1X2VtYWlsc19hdHRhY2htZW50OmYxMWQyOTdiNzAwNTMxOGM5ZTMyNDEwYzA4MWI0ZDUxOjc6MDMxOTplZTgzYjRhYTZjOTBlMjBmMjVkZTYxMWFhMjE0MDAwN2JmYmZiZWE5MzM3NGM3YmEwY2E4OWMwMTZjNzVmMDk2OnA6RjpG" TargetMode="External" /><Relationship Id="rId11" Type="http://schemas.openxmlformats.org/officeDocument/2006/relationships/hyperlink" Target="dlittle@pathwaysmisi.org" TargetMode="External" /><Relationship Id="rId12" Type="http://schemas.openxmlformats.org/officeDocument/2006/relationships/hyperlink" Target="https://protect.checkpoint.com/v2/r01/___https://www.hud.gov/sites/dfiles/CPD/documents/CoC/FY2026-CoC-Program-NOFO.pdf___.YXAzOnVsc3RsOmM6b2ZmaWNlMzY1X2VtYWlsc19hdHRhY2htZW50OmYxMWQyOTdiNzAwNTMxOGM5ZTMyNDEwYzA4MWI0ZDUxOjc6MDMxOTplZTgzYjRhYTZjOTBlMjBmMjVkZTYxMWFhMjE0MDAwN2JmYmZiZWE5MzM3NGM3YmEwY2E4OWMwMTZjNzVmMDk2OnA6RjpG"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protect.checkpoint.com/v2/r01/___https://www.scccoc.org/general-5___.YXAzOnVsc3RsOmM6b2ZmaWNlMzY1X2VtYWlsc19hdHRhY2htZW50OmYxMWQyOTdiNzAwNTMxOGM5ZTMyNDEwYzA4MWI0ZDUxOjc6MzMzNjpmZmFiNDlhNGI3ZTZiZjk5MGY0MDRjZTE3MzM2NTQzZWQ5OGMzZDVjYjA3NTdjYWEzYjk1YTZjNmMwNWZiYTIxOnA6RjpG" TargetMode="External" /><Relationship Id="rId7" Type="http://schemas.openxmlformats.org/officeDocument/2006/relationships/hyperlink" Target="https://protect.checkpoint.com/v2/r01/___https://us06web.zoom.us/j/86713713840___.YXAzOnVsc3RsOmM6b2ZmaWNlMzY1X2VtYWlsc19hdHRhY2htZW50OmYxMWQyOTdiNzAwNTMxOGM5ZTMyNDEwYzA4MWI0ZDUxOjc6NjdkNTpiOWJiMDQ0OWVjMzJjZGQyMTFmZjEyMzU0YTM5MzNiY2U0MmY4NDRlMjQzNzY0MjNiMGEzYmQ4ZGU1Yzg3YWQ1OnA6RjpG" TargetMode="External" /><Relationship Id="rId8" Type="http://schemas.openxmlformats.org/officeDocument/2006/relationships/hyperlink" Target="mailto:Christina.Anderson@co.st-clair.il.us" TargetMode="External" /><Relationship Id="rId9" Type="http://schemas.openxmlformats.org/officeDocument/2006/relationships/hyperlink" Target="christina.anderson@co.st-clair.il.u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6915-C338-4801-BA8C-7AAD735B5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1065</Words>
  <Characters>5873</Characters>
  <Application>Microsoft Office Word</Application>
  <DocSecurity>0</DocSecurity>
  <Lines>77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 Little</dc:creator>
  <cp:lastModifiedBy>Deb Little</cp:lastModifiedBy>
  <cp:revision>41</cp:revision>
  <cp:lastPrinted>2026-06-16T15:14:00Z</cp:lastPrinted>
  <dcterms:created xsi:type="dcterms:W3CDTF">2026-06-16T16:17:00Z</dcterms:created>
  <dcterms:modified xsi:type="dcterms:W3CDTF">2026-06-16T20:17:00Z</dcterms:modified>
</cp:coreProperties>
</file>